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9072"/>
      </w:tblGrid>
      <w:tr w:rsidR="00343ABD" w:rsidRPr="00343ABD" w:rsidTr="00343ABD">
        <w:tc>
          <w:tcPr>
            <w:tcW w:w="9399" w:type="dxa"/>
            <w:tcBorders>
              <w:top w:val="nil"/>
              <w:left w:val="nil"/>
              <w:bottom w:val="single" w:sz="8" w:space="0" w:color="auto"/>
              <w:right w:val="nil"/>
            </w:tcBorders>
            <w:shd w:val="clear" w:color="auto" w:fill="auto"/>
            <w:tcMar>
              <w:top w:w="227" w:type="dxa"/>
              <w:left w:w="0" w:type="dxa"/>
              <w:bottom w:w="227" w:type="dxa"/>
              <w:right w:w="0" w:type="dxa"/>
            </w:tcMar>
            <w:vAlign w:val="center"/>
            <w:hideMark/>
          </w:tcPr>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bookmarkStart w:id="0" w:name="_GoBack"/>
            <w:bookmarkEnd w:id="0"/>
            <w:r>
              <w:rPr>
                <w:rFonts w:ascii="Arial" w:eastAsia="Times New Roman" w:hAnsi="Arial" w:cs="Arial"/>
                <w:b/>
                <w:bCs/>
                <w:color w:val="333333"/>
                <w:sz w:val="20"/>
                <w:szCs w:val="20"/>
                <w:lang w:val="sl"/>
              </w:rPr>
              <w:t>Priporočilo Odbora ministrov CM/Rec(2017)4</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b/>
                <w:bCs/>
                <w:color w:val="333333"/>
                <w:sz w:val="20"/>
                <w:szCs w:val="20"/>
                <w:lang w:val="sl"/>
              </w:rPr>
              <w:t>državam članicam</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b/>
                <w:bCs/>
                <w:color w:val="333333"/>
                <w:sz w:val="20"/>
                <w:szCs w:val="20"/>
                <w:lang w:val="sl"/>
              </w:rPr>
              <w:t>o mladinskem delu</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i/>
                <w:iCs/>
                <w:color w:val="333333"/>
                <w:sz w:val="20"/>
                <w:szCs w:val="20"/>
                <w:lang w:val="sl"/>
              </w:rPr>
              <w:t>(sprejel Odbor ministrov 31. maja 2017</w:t>
            </w:r>
            <w:r>
              <w:rPr>
                <w:rFonts w:ascii="Arial" w:eastAsia="Times New Roman" w:hAnsi="Arial" w:cs="Arial"/>
                <w:color w:val="333333"/>
                <w:sz w:val="20"/>
                <w:szCs w:val="20"/>
                <w:lang w:val="sl"/>
              </w:rPr>
              <w:br/>
            </w:r>
            <w:r>
              <w:rPr>
                <w:rFonts w:ascii="Arial" w:eastAsia="Times New Roman" w:hAnsi="Arial" w:cs="Arial"/>
                <w:i/>
                <w:iCs/>
                <w:color w:val="333333"/>
                <w:sz w:val="20"/>
                <w:szCs w:val="20"/>
                <w:lang w:val="sl"/>
              </w:rPr>
              <w:t>na 1287. zasedanju ministrskih namestnikov)</w:t>
            </w:r>
          </w:p>
        </w:tc>
      </w:tr>
    </w:tbl>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Odbor ministrov v skladu s 15.b členom Statuta Sveta Evrope,</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ob upoštevanju cilja Sveta Evrope doseči večjo enotnost med njegovimi članicami, med drugim s spodbujanjem na skupnih načelih temelječe mladinske politike;</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ob upoštevanju Evropske konvencije o človekovih pravicah (sprejete leta 1950, ETS št. 5, s spremembami in dopolnitvami), kakor jo uporablja in razlaga Evropsko sodišče za človekove pravice, in Evropske socialne listine (sprejete leta 1961, ETS št. 35, spremenjene leta 1996, ETS št. 163, s spremembami in dopolnitvami), kakor jo uporablja in razlaga Evropski odbor za socialne pravice;</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xml:space="preserve">ob sklicevanju na Resolucijo </w:t>
      </w:r>
      <w:hyperlink r:id="rId5" w:tooltip="Resolucijo Sveta Evrope o mladinski politiki (sprejel Odbor ministrov 25. novembra 2008 na 1042. zasedanju namestnikov ministrov)" w:history="1">
        <w:r>
          <w:rPr>
            <w:rFonts w:ascii="Arial" w:eastAsia="Times New Roman" w:hAnsi="Arial" w:cs="Arial"/>
            <w:color w:val="428BCA"/>
            <w:sz w:val="20"/>
            <w:szCs w:val="20"/>
            <w:lang w:val="sl"/>
          </w:rPr>
          <w:t>CM/Res(2008)23</w:t>
        </w:r>
      </w:hyperlink>
      <w:r>
        <w:rPr>
          <w:rFonts w:ascii="Arial" w:eastAsia="Times New Roman" w:hAnsi="Arial" w:cs="Arial"/>
          <w:color w:val="333333"/>
          <w:sz w:val="20"/>
          <w:szCs w:val="20"/>
          <w:lang w:val="sl"/>
        </w:rPr>
        <w:t xml:space="preserve"> Odbora ministrov Sveta Evrope o mladinski politiki;</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ob sklicevanju na veljavna načela iz ustreznih priporočil Odbora ministrov državam članicam, predvsem iz:</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000000"/>
          <w:sz w:val="20"/>
          <w:szCs w:val="20"/>
          <w:lang w:val="sl"/>
        </w:rPr>
        <w:t xml:space="preserve">Priporočila </w:t>
      </w:r>
      <w:hyperlink r:id="rId6" w:tooltip="Priporočilo Odbora ministrov državam članicam o spodbujanju in priznavanju neformalnega izobraževanja/učenja mladih (sprejel Odbor ministrov 30. aprila 2003 na 838. zasedanju ministrskih namestnikov)" w:history="1">
        <w:r>
          <w:rPr>
            <w:rFonts w:ascii="Arial" w:eastAsia="Times New Roman" w:hAnsi="Arial" w:cs="Arial"/>
            <w:color w:val="000000"/>
            <w:sz w:val="20"/>
            <w:szCs w:val="20"/>
            <w:lang w:val="sl"/>
          </w:rPr>
          <w:t>Rec(2003)8</w:t>
        </w:r>
      </w:hyperlink>
      <w:r>
        <w:rPr>
          <w:rFonts w:ascii="Arial" w:eastAsia="Times New Roman" w:hAnsi="Arial" w:cs="Arial"/>
          <w:color w:val="000000"/>
          <w:sz w:val="20"/>
          <w:szCs w:val="20"/>
          <w:lang w:val="sl"/>
        </w:rPr>
        <w:t xml:space="preserve"> o spodbujanju in priznavanju neformalnega izobraževanja/učenja mladih;</w:t>
      </w:r>
      <w:r>
        <w:rPr>
          <w:rFonts w:ascii="Arial" w:eastAsia="Times New Roman" w:hAnsi="Arial" w:cs="Arial"/>
          <w:color w:val="333333"/>
          <w:sz w:val="20"/>
          <w:szCs w:val="20"/>
          <w:lang w:val="sl"/>
        </w:rPr>
        <w:t xml:space="preserve"> </w:t>
      </w:r>
      <w:r>
        <w:rPr>
          <w:rFonts w:ascii="Arial" w:eastAsia="Times New Roman" w:hAnsi="Arial" w:cs="Arial"/>
          <w:color w:val="000000"/>
          <w:sz w:val="20"/>
          <w:szCs w:val="20"/>
          <w:lang w:val="sl"/>
        </w:rPr>
        <w:t xml:space="preserve">Priporočila </w:t>
      </w:r>
      <w:hyperlink r:id="rId7" w:tooltip="Priporočilo Odbora ministrov državam članicam o vključevanju mladih v lokalno in regionalno življenje (sprejel Odbor ministrov 17. novembra 2004 na 904. zasedanju ministrskih namestnikov)" w:history="1">
        <w:r>
          <w:rPr>
            <w:rFonts w:ascii="Arial" w:eastAsia="Times New Roman" w:hAnsi="Arial" w:cs="Arial"/>
            <w:color w:val="000000"/>
            <w:sz w:val="20"/>
            <w:szCs w:val="20"/>
            <w:lang w:val="sl"/>
          </w:rPr>
          <w:t>Rec(2004)13</w:t>
        </w:r>
      </w:hyperlink>
      <w:r>
        <w:rPr>
          <w:rFonts w:ascii="Arial" w:eastAsia="Times New Roman" w:hAnsi="Arial" w:cs="Arial"/>
          <w:color w:val="000000"/>
          <w:sz w:val="20"/>
          <w:szCs w:val="20"/>
          <w:lang w:val="sl"/>
        </w:rPr>
        <w:t xml:space="preserve"> o vključevanju mladih v lokalno in regionalno življenje;</w:t>
      </w:r>
      <w:r>
        <w:rPr>
          <w:rFonts w:ascii="Arial" w:eastAsia="Times New Roman" w:hAnsi="Arial" w:cs="Arial"/>
          <w:color w:val="333333"/>
          <w:sz w:val="20"/>
          <w:szCs w:val="20"/>
          <w:lang w:val="sl"/>
        </w:rPr>
        <w:t xml:space="preserve"> Priporočila </w:t>
      </w:r>
      <w:hyperlink r:id="rId8" w:tooltip="Priporočilo Odbora ministrov državam članicam o vlogi nacionalnih mladinskih svetov pri razvoju mladinske politike (sprejel Odbor ministrov 11. januarja 2006 na 952. zasedanju ministrskih namestnikov)" w:history="1">
        <w:r>
          <w:rPr>
            <w:rFonts w:ascii="Arial" w:eastAsia="Times New Roman" w:hAnsi="Arial" w:cs="Arial"/>
            <w:color w:val="428BCA"/>
            <w:sz w:val="20"/>
            <w:szCs w:val="20"/>
            <w:lang w:val="sl"/>
          </w:rPr>
          <w:t>Rec(2006)1</w:t>
        </w:r>
      </w:hyperlink>
      <w:r>
        <w:rPr>
          <w:rFonts w:ascii="Arial" w:eastAsia="Times New Roman" w:hAnsi="Arial" w:cs="Arial"/>
          <w:color w:val="333333"/>
          <w:sz w:val="20"/>
          <w:szCs w:val="20"/>
          <w:lang w:val="sl"/>
        </w:rPr>
        <w:t xml:space="preserve"> o vlogi nacionalnih mladinskih svetov pri razvoju mladinske politike; </w:t>
      </w:r>
      <w:r>
        <w:rPr>
          <w:rFonts w:ascii="Arial" w:eastAsia="Times New Roman" w:hAnsi="Arial" w:cs="Arial"/>
          <w:color w:val="000000"/>
          <w:sz w:val="20"/>
          <w:szCs w:val="20"/>
          <w:lang w:val="sl"/>
        </w:rPr>
        <w:t>Priporočila</w:t>
      </w:r>
      <w:hyperlink r:id="rId9" w:tooltip="Priporočilo Odbora ministrov državam članicam o integraciji načela enakosti spolov v izobraževanju (sprejel Odbor ministrov 10. oktobra 2007 na 1006. zasedanju ministrskih namestnikov)" w:history="1">
        <w:r>
          <w:rPr>
            <w:rFonts w:ascii="Arial" w:eastAsia="Times New Roman" w:hAnsi="Arial" w:cs="Arial"/>
            <w:color w:val="000000"/>
            <w:sz w:val="20"/>
            <w:szCs w:val="20"/>
            <w:lang w:val="sl"/>
          </w:rPr>
          <w:t>CM/Rec(2007)13</w:t>
        </w:r>
      </w:hyperlink>
      <w:r>
        <w:rPr>
          <w:rFonts w:ascii="Arial" w:eastAsia="Times New Roman" w:hAnsi="Arial" w:cs="Arial"/>
          <w:color w:val="000000"/>
          <w:sz w:val="20"/>
          <w:szCs w:val="20"/>
          <w:lang w:val="sl"/>
        </w:rPr>
        <w:t xml:space="preserve"> o vključitvi načela enakosti spolov v izobraževanje; Priporočila </w:t>
      </w:r>
      <w:hyperlink r:id="rId10" w:tooltip="Priporočilo Odbora ministrov državam članicam o listini Sveta Evrope o izobraževanju za demokratično državljanstvo in izobraževanju za človekove pravice (sprejel Odbor ministrov 11. maja 2010 na 120. zasedanju)" w:history="1">
        <w:r>
          <w:rPr>
            <w:rFonts w:ascii="Arial" w:eastAsia="Times New Roman" w:hAnsi="Arial" w:cs="Arial"/>
            <w:color w:val="000000"/>
            <w:sz w:val="20"/>
            <w:szCs w:val="20"/>
            <w:lang w:val="sl"/>
          </w:rPr>
          <w:t>CM/Rec(2010)7</w:t>
        </w:r>
      </w:hyperlink>
      <w:r>
        <w:rPr>
          <w:rFonts w:ascii="Arial" w:eastAsia="Times New Roman" w:hAnsi="Arial" w:cs="Arial"/>
          <w:color w:val="000000"/>
          <w:sz w:val="20"/>
          <w:szCs w:val="20"/>
          <w:lang w:val="sl"/>
        </w:rPr>
        <w:t xml:space="preserve"> o listini Sveta Evrope o izobraževanju za demokratično državljanstvo in izobraževanju za človekove pravice; Priporočila </w:t>
      </w:r>
      <w:hyperlink r:id="rId11" w:tooltip="Priporočilo Odbora ministrov državam članicam o informiranju mladih (sprejel Odbor ministrov 16. septembra 2010 na 1088. zasedanju ministrskih namestnikov)" w:history="1">
        <w:r>
          <w:rPr>
            <w:rFonts w:ascii="Arial" w:eastAsia="Times New Roman" w:hAnsi="Arial" w:cs="Arial"/>
            <w:color w:val="000000"/>
            <w:sz w:val="20"/>
            <w:szCs w:val="20"/>
            <w:lang w:val="sl"/>
          </w:rPr>
          <w:t>CM/Rec(2010)8</w:t>
        </w:r>
      </w:hyperlink>
      <w:r>
        <w:rPr>
          <w:rFonts w:ascii="Arial" w:eastAsia="Times New Roman" w:hAnsi="Arial" w:cs="Arial"/>
          <w:color w:val="000000"/>
          <w:sz w:val="20"/>
          <w:szCs w:val="20"/>
          <w:lang w:val="sl"/>
        </w:rPr>
        <w:t xml:space="preserve"> o informiranju mladih; Priporočila </w:t>
      </w:r>
      <w:hyperlink r:id="rId12" w:tooltip="Priporočilo Odbora ministrov državam članicam o vključevanju otrok in mladih do 18. leta starosti (sprejel Odbor ministrov 28. marca 2012 na 1138. zasedanju ministrskih namestnikov)" w:history="1">
        <w:r>
          <w:rPr>
            <w:rFonts w:ascii="Arial" w:eastAsia="Times New Roman" w:hAnsi="Arial" w:cs="Arial"/>
            <w:color w:val="000000"/>
            <w:sz w:val="20"/>
            <w:szCs w:val="20"/>
            <w:lang w:val="sl"/>
          </w:rPr>
          <w:t>CM/Rec(2012)2</w:t>
        </w:r>
      </w:hyperlink>
      <w:r>
        <w:rPr>
          <w:rFonts w:ascii="Arial" w:eastAsia="Times New Roman" w:hAnsi="Arial" w:cs="Arial"/>
          <w:color w:val="000000"/>
          <w:sz w:val="20"/>
          <w:szCs w:val="20"/>
          <w:lang w:val="sl"/>
        </w:rPr>
        <w:t xml:space="preserve"> o vključevanju otrok in mladih do 18. leta starosti; Priporočila </w:t>
      </w:r>
      <w:hyperlink r:id="rId13" w:tooltip="Priporočilo Odbora ministrov državam članicam o zagotavljanju kakovostnega izobraževanja (sprejel Odbor ministrov 12. decembra 2012 na 1158. zasedanju ministrskih namestnikov)" w:history="1">
        <w:r>
          <w:rPr>
            <w:rFonts w:ascii="Arial" w:eastAsia="Times New Roman" w:hAnsi="Arial" w:cs="Arial"/>
            <w:color w:val="000000"/>
            <w:sz w:val="20"/>
            <w:szCs w:val="20"/>
            <w:lang w:val="sl"/>
          </w:rPr>
          <w:t>CM/Rec(2012)13</w:t>
        </w:r>
      </w:hyperlink>
      <w:r>
        <w:rPr>
          <w:rFonts w:ascii="Arial" w:eastAsia="Times New Roman" w:hAnsi="Arial" w:cs="Arial"/>
          <w:color w:val="000000"/>
          <w:sz w:val="20"/>
          <w:szCs w:val="20"/>
          <w:lang w:val="sl"/>
        </w:rPr>
        <w:t xml:space="preserve"> o</w:t>
      </w:r>
      <w:r>
        <w:rPr>
          <w:rFonts w:ascii="Arial" w:eastAsia="Times New Roman" w:hAnsi="Arial" w:cs="Arial"/>
          <w:color w:val="333333"/>
          <w:sz w:val="20"/>
          <w:szCs w:val="20"/>
          <w:lang w:val="sl"/>
        </w:rPr>
        <w:t xml:space="preserve"> zagotavljanju kakovostnega izobraževanja; Priporočila </w:t>
      </w:r>
      <w:hyperlink r:id="rId14" w:tooltip="Priporočilo Odbora ministrov državam članicam o dostopu mladih iz prikrajšanih sosesk do socialnih pravic (sprejel Odbor ministrov 21. januarja 2015 na 1217. zasedanju ministrskih namestnikov)" w:history="1">
        <w:r>
          <w:rPr>
            <w:rFonts w:ascii="Arial" w:eastAsia="Times New Roman" w:hAnsi="Arial" w:cs="Arial"/>
            <w:color w:val="428BCA"/>
            <w:sz w:val="20"/>
            <w:szCs w:val="20"/>
            <w:lang w:val="sl"/>
          </w:rPr>
          <w:t>CM/Rec(2015)3</w:t>
        </w:r>
      </w:hyperlink>
      <w:r>
        <w:rPr>
          <w:rFonts w:ascii="Arial" w:eastAsia="Times New Roman" w:hAnsi="Arial" w:cs="Arial"/>
          <w:color w:val="333333"/>
          <w:sz w:val="20"/>
          <w:szCs w:val="20"/>
          <w:lang w:val="sl"/>
        </w:rPr>
        <w:t xml:space="preserve"> o dostopu mladih iz prikrajšanih sosesk do socialnih pravic; Priporočila </w:t>
      </w:r>
      <w:hyperlink r:id="rId15" w:tooltip="Priporočilo Odbora ministrov državam članicam o dostopu mladih do pravic (sprejel Odbor ministrov 28. septembra 2016 na 1266. zasedanju ministrskih namestnikov)" w:history="1">
        <w:r>
          <w:rPr>
            <w:rFonts w:ascii="Arial" w:eastAsia="Times New Roman" w:hAnsi="Arial" w:cs="Arial"/>
            <w:color w:val="428BCA"/>
            <w:sz w:val="20"/>
            <w:szCs w:val="20"/>
            <w:lang w:val="sl"/>
          </w:rPr>
          <w:t>CM/Rec(2016)7</w:t>
        </w:r>
      </w:hyperlink>
      <w:r>
        <w:rPr>
          <w:rFonts w:ascii="Arial" w:eastAsia="Times New Roman" w:hAnsi="Arial" w:cs="Arial"/>
          <w:color w:val="333333"/>
          <w:sz w:val="20"/>
          <w:szCs w:val="20"/>
          <w:lang w:val="sl"/>
        </w:rPr>
        <w:t xml:space="preserve"> o dostopu mladih do pravic;</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ob upoštevanju Konvencije Združenih narodov o otrokovih pravicah;</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ob sklicevanju na priporočilo Parlamentarne skupščine 1437 (2000) "Neformalno izobraževanje"; 1978 (2011) "K Evropski okvirni konvenciji o pravicah mladih"; 2015 (2013) "Dostop mladih do temeljnih pravic" in njene resolucije 1885 (2012) "Odrekanje mladih: socialne, ekonomske in politične posledice finančne krize" ter odgovorov Odbora ministrov na ta priporočila;</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xml:space="preserve">ob sklicevanju na resolucijo kongresa lokalnih in regionalnih oblasti 386 (2015) "Odstranjevanje ovir pri sodelovanju mladih: sprejetje </w:t>
      </w:r>
      <w:r>
        <w:rPr>
          <w:rFonts w:ascii="Arial" w:eastAsia="Times New Roman" w:hAnsi="Arial" w:cs="Arial"/>
          <w:i/>
          <w:iCs/>
          <w:color w:val="333333"/>
          <w:sz w:val="20"/>
          <w:szCs w:val="20"/>
          <w:lang w:val="sl"/>
        </w:rPr>
        <w:t>lingua franca</w:t>
      </w:r>
      <w:r>
        <w:rPr>
          <w:rFonts w:ascii="Arial" w:eastAsia="Times New Roman" w:hAnsi="Arial" w:cs="Arial"/>
          <w:color w:val="333333"/>
          <w:sz w:val="20"/>
          <w:szCs w:val="20"/>
          <w:lang w:val="sl"/>
        </w:rPr>
        <w:t xml:space="preserve"> lokalnih in regionalnih oblasti ter mladih" in njegovega Priporočila 128 (2003) "Spremenjena Evropska listina o sodelovanju mladih v lokalnem in regionalnem življenju" ter odgovora Odbora ministrov na to priporočilo;</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000000"/>
          <w:sz w:val="20"/>
          <w:szCs w:val="20"/>
          <w:lang w:val="sl"/>
        </w:rPr>
        <w:t>ob upoštevanju</w:t>
      </w:r>
      <w:r>
        <w:rPr>
          <w:rFonts w:ascii="Arial" w:eastAsia="Times New Roman" w:hAnsi="Arial" w:cs="Arial"/>
          <w:color w:val="333333"/>
          <w:sz w:val="20"/>
          <w:szCs w:val="20"/>
          <w:lang w:val="sl"/>
        </w:rPr>
        <w:t xml:space="preserve"> Deklaracije in akcijskega načrta tretjega vrha voditeljev držav in vlad Sveta Evrope (Varšava, 16. in 17. maj 2005), v katerih je zapisano, da bo Svet Evrope še naprej razvijal svoj edinstveni položaj na mladinskem področju;</w:t>
      </w:r>
    </w:p>
    <w:p w:rsidR="00343ABD" w:rsidRPr="00343ABD" w:rsidRDefault="00343ABD" w:rsidP="00343ABD">
      <w:pPr>
        <w:keepNext/>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lastRenderedPageBreak/>
        <w:t>v prepričanju, da:</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trdnost evropske identitete in temeljne vrednote Sveta Evrope (človekove pravice, pravna država in demokracija) temeljijo na ustvarjalnosti, kompetencah, družbeni odgovornosti in prispevku mladih ter tudi na njihovem zaupanju v prihodnost;</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morajo vladne politike podpirati mlade pri polnem uresničevanju njihovih zmožnosti kot samostojnih članov družbe, jim omogočiti razvoj življenjskih načrtov in uresničevanje demokratičnega državljanstva;</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xml:space="preserve">– mladinsko delo pomembno prispeva k </w:t>
      </w:r>
      <w:r w:rsidR="00B67373">
        <w:rPr>
          <w:rFonts w:ascii="Arial" w:eastAsia="Times New Roman" w:hAnsi="Arial" w:cs="Arial"/>
          <w:color w:val="333333"/>
          <w:sz w:val="20"/>
          <w:szCs w:val="20"/>
          <w:lang w:val="sl"/>
        </w:rPr>
        <w:t xml:space="preserve">aktivnemu </w:t>
      </w:r>
      <w:r>
        <w:rPr>
          <w:rFonts w:ascii="Arial" w:eastAsia="Times New Roman" w:hAnsi="Arial" w:cs="Arial"/>
          <w:color w:val="333333"/>
          <w:sz w:val="20"/>
          <w:szCs w:val="20"/>
          <w:lang w:val="sl"/>
        </w:rPr>
        <w:t xml:space="preserve">državljanstvu z zagotavljanjem možnosti za pridobivanje znanja, spretnosti in notranje naravnanosti za </w:t>
      </w:r>
      <w:r w:rsidR="00803569">
        <w:rPr>
          <w:rFonts w:ascii="Arial" w:eastAsia="Times New Roman" w:hAnsi="Arial" w:cs="Arial"/>
          <w:color w:val="333333"/>
          <w:sz w:val="20"/>
          <w:szCs w:val="20"/>
          <w:lang w:val="sl"/>
        </w:rPr>
        <w:t xml:space="preserve">aktivno </w:t>
      </w:r>
      <w:r>
        <w:rPr>
          <w:rFonts w:ascii="Arial" w:eastAsia="Times New Roman" w:hAnsi="Arial" w:cs="Arial"/>
          <w:color w:val="333333"/>
          <w:sz w:val="20"/>
          <w:szCs w:val="20"/>
          <w:lang w:val="sl"/>
        </w:rPr>
        <w:t>državljanstvo in družbeno ukrepanje;</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ob priznavanju zapletenosti in izzivov prehoda iz otroštva v odraslost in samostojnost ter manjših možnosti mladih zaradi naraščajočih brezposelnosti, revščine, diskriminacije in socialne izključenosti;</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ob zavedanju vpliva gospodarske krize na zagotavljanje mladinskega dela v nekaterih državah članicah;</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xml:space="preserve">ob priznavanju dela mladinskega sektorja v Svetu Evrope za podporo mladinski politiki, ki spodbuja človekove pravice, socialno vključenost, medkulturni dialog, enakost spolov in </w:t>
      </w:r>
      <w:r w:rsidR="00D2055C">
        <w:rPr>
          <w:rFonts w:ascii="Arial" w:eastAsia="Times New Roman" w:hAnsi="Arial" w:cs="Arial"/>
          <w:color w:val="333333"/>
          <w:sz w:val="20"/>
          <w:szCs w:val="20"/>
          <w:lang w:val="sl"/>
        </w:rPr>
        <w:t xml:space="preserve">aktivno participacijo </w:t>
      </w:r>
      <w:r>
        <w:rPr>
          <w:rFonts w:ascii="Arial" w:eastAsia="Times New Roman" w:hAnsi="Arial" w:cs="Arial"/>
          <w:color w:val="333333"/>
          <w:sz w:val="20"/>
          <w:szCs w:val="20"/>
          <w:lang w:val="sl"/>
        </w:rPr>
        <w:t>mladih, predvsem prek evropskih mladinskih centrov, Evropske mladinske fundacije, njenega medvladnega sodelovanja in soupravljanja v njenih organih ter partnerstva med Evropsko unijo in Svetom Evrope na področju mladine;</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ob priznavanju pomena doseganja povezanosti in skupnih učinkov prizadevanj vseh ustreznih deležnikov, tudi Evropske unije, na področju mladinskega dela;</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ob priznavanju pozitivnega prispevka mladinskih delavcev vseh držav članic h krepitvi moči mladih in njihovega sodelovanja pri razvoju vključujočih, demokratičnih in miroljubnih družb;</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ob upoštevanju izjave druge evropske konvencije o mladinskem delu (2015) "Izboljšajmo svet", ki je bila namenjena oblikovanju evropske</w:t>
      </w:r>
      <w:r w:rsidR="00B67373">
        <w:rPr>
          <w:rFonts w:ascii="Arial" w:eastAsia="Times New Roman" w:hAnsi="Arial" w:cs="Arial"/>
          <w:color w:val="333333"/>
          <w:sz w:val="20"/>
          <w:szCs w:val="20"/>
          <w:lang w:val="sl"/>
        </w:rPr>
        <w:t xml:space="preserve"> agende o mladinskem delu, </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000000"/>
          <w:sz w:val="20"/>
          <w:szCs w:val="20"/>
          <w:lang w:val="sl"/>
        </w:rPr>
        <w:t>priporoča vladam držav članic, da v mejah pristojnosti znova podprejo mladinsko delo, tako da:</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1. zagotovijo, da lokalne, regionalne ali nacionalne mladinske politike, kakor je primerno, varujejo in dejavno podpirajo delovanje ali nadaljnji razvoj kakovostnega mladinskega dela. Ob upoštevanju raznovrstnosti mladinskega dela v državah članicah in med njimi naj posebno pozornost namenijo strategijam, okvirom, zakonodaji, trajnostnim strukturam in virom, učinkovitemu usklajevanju z drugimi sektorji in povezanimi politikami, ki spodbujajo enak dostop vseh mladih do mladinskega dela. Mladinske delavce in mlade naj dejavno vključijo v vse načrtovane ukrepe za izvajanje;</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2. oblikujejo medsebojno povezan, prilagodljiv in na kompetencah temelječ okvir za izobraževanje in usposabljanja poklicnih in prostovoljnih mladinskih delavcev, ki upošteva zdajšnjo prakso, nove smeri razvoja in področja udejstvovanja, pa tudi raznolikost mladinskega dela. Pri razvoju tega okvira naj sodelujejo tudi mladinski delavci in mladi;</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3. obravnavajo ukrepe in načela, predlagane v dodatku k temu priporočilu, in spodbudijo izvajalce mladinskega dela, da storijo enako;</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4. podprejo pobudo mladinskega sektorja v Svetu Evrope za oblikovanje priložnostne delovne skupine na visoki ravni, sestavljene iz ustreznih deležnikov s področja mladinskega dela v Evropi, ki naj pripravi srednjeročno strategijo na znanju temelječega razvoja evropskega mladinskega dela za:</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lastRenderedPageBreak/>
        <w:t>– izboljšanje usklajevanja znanja in virov mladinskega dela na evropski, nacionalni, regionalni in lokalni ravni ter dostop do njih;</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nadaljnjo podporo izmenjavi praks na področju mladinskega dela, vzajemno učenje in oblikovanje trajnostnih mrež in partnerstev;</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spodbujanje sodelovanja v mladinskem sektorju ter med sektorji in strokovnimi področji, kjer se opravlja mladinsko delo, za krepitev vezi, predvsem med formalnim izobraževanjem in mladinskim delom ter med državnimi organi, zasebnim sektorjem in civilno družbo;</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krepitev dialoga med mladinskim delom, mladinsko politiko in raziskavami na področju mladine;</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krepitev zmogljivosti mladinskega dela za odziv na spremembe in smeri razvoja naše družbe ter na nove izzive, s katerimi se mladi spoprijemajo;</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zbiranje informacij o zdajšnjem izobraževanju in usposabljanju (kot sta poklicno izobraževanje in</w:t>
      </w:r>
      <w:r w:rsidR="007D25E3">
        <w:rPr>
          <w:rFonts w:ascii="Arial" w:eastAsia="Times New Roman" w:hAnsi="Arial" w:cs="Arial"/>
          <w:color w:val="333333"/>
          <w:sz w:val="20"/>
          <w:szCs w:val="20"/>
          <w:lang w:val="sl"/>
        </w:rPr>
        <w:t xml:space="preserve"> </w:t>
      </w:r>
      <w:r>
        <w:rPr>
          <w:rFonts w:ascii="Arial" w:eastAsia="Times New Roman" w:hAnsi="Arial" w:cs="Arial"/>
          <w:color w:val="333333"/>
          <w:sz w:val="20"/>
          <w:szCs w:val="20"/>
          <w:lang w:val="sl"/>
        </w:rPr>
        <w:t>visokošolsko izobraževanje) in sistemih za potrjevanje kompetenc poklicnih in prostovoljnih mladinskih delavcev;</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pripravo različnih ukrepov pomoči, ki državam članicam pomagajo nadaljevati delo in uresničevati to priporočilo;</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xml:space="preserve">5. spodbujajo nacionalne in evropske raziskave </w:t>
      </w:r>
      <w:r w:rsidR="00B946EC">
        <w:rPr>
          <w:rFonts w:ascii="Arial" w:eastAsia="Times New Roman" w:hAnsi="Arial" w:cs="Arial"/>
          <w:color w:val="333333"/>
          <w:sz w:val="20"/>
          <w:szCs w:val="20"/>
          <w:lang w:val="sl"/>
        </w:rPr>
        <w:t xml:space="preserve">o </w:t>
      </w:r>
      <w:r>
        <w:rPr>
          <w:rFonts w:ascii="Arial" w:eastAsia="Times New Roman" w:hAnsi="Arial" w:cs="Arial"/>
          <w:color w:val="333333"/>
          <w:sz w:val="20"/>
          <w:szCs w:val="20"/>
          <w:lang w:val="sl"/>
        </w:rPr>
        <w:t>različnih oblik</w:t>
      </w:r>
      <w:r w:rsidR="00B946EC">
        <w:rPr>
          <w:rFonts w:ascii="Arial" w:eastAsia="Times New Roman" w:hAnsi="Arial" w:cs="Arial"/>
          <w:color w:val="333333"/>
          <w:sz w:val="20"/>
          <w:szCs w:val="20"/>
          <w:lang w:val="sl"/>
        </w:rPr>
        <w:t>ah</w:t>
      </w:r>
      <w:r>
        <w:rPr>
          <w:rFonts w:ascii="Arial" w:eastAsia="Times New Roman" w:hAnsi="Arial" w:cs="Arial"/>
          <w:color w:val="333333"/>
          <w:sz w:val="20"/>
          <w:szCs w:val="20"/>
          <w:lang w:val="sl"/>
        </w:rPr>
        <w:t xml:space="preserve"> mladinskega dela in njegovi vrednosti, vpliv</w:t>
      </w:r>
      <w:r w:rsidR="00B946EC">
        <w:rPr>
          <w:rFonts w:ascii="Arial" w:eastAsia="Times New Roman" w:hAnsi="Arial" w:cs="Arial"/>
          <w:color w:val="333333"/>
          <w:sz w:val="20"/>
          <w:szCs w:val="20"/>
          <w:lang w:val="sl"/>
        </w:rPr>
        <w:t xml:space="preserve">u </w:t>
      </w:r>
      <w:r>
        <w:rPr>
          <w:rFonts w:ascii="Arial" w:eastAsia="Times New Roman" w:hAnsi="Arial" w:cs="Arial"/>
          <w:color w:val="333333"/>
          <w:sz w:val="20"/>
          <w:szCs w:val="20"/>
          <w:lang w:val="sl"/>
        </w:rPr>
        <w:t>in pomen</w:t>
      </w:r>
      <w:r w:rsidR="00B946EC">
        <w:rPr>
          <w:rFonts w:ascii="Arial" w:eastAsia="Times New Roman" w:hAnsi="Arial" w:cs="Arial"/>
          <w:color w:val="333333"/>
          <w:sz w:val="20"/>
          <w:szCs w:val="20"/>
          <w:lang w:val="sl"/>
        </w:rPr>
        <w:t>u</w:t>
      </w:r>
      <w:r>
        <w:rPr>
          <w:rFonts w:ascii="Arial" w:eastAsia="Times New Roman" w:hAnsi="Arial" w:cs="Arial"/>
          <w:color w:val="333333"/>
          <w:sz w:val="20"/>
          <w:szCs w:val="20"/>
          <w:lang w:val="sl"/>
        </w:rPr>
        <w:t>;</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6. podprejo razvoj primernih oblik pregledovanja in vrednotenja vplivov in dosežkov mladinskega dela ter v državah članicah okrepijo razširjanje portfelja mladinskega dela Sveta Evrope, njegovo priznavanje in vpliv;</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7. spodbujajo znak kakovosti Sveta Evrope za mladinske centre kot primer dobre prakse.</w:t>
      </w:r>
    </w:p>
    <w:p w:rsidR="00343ABD" w:rsidRPr="00343ABD" w:rsidRDefault="00343ABD" w:rsidP="00343ABD">
      <w:pPr>
        <w:spacing w:before="100" w:beforeAutospacing="1" w:after="100" w:afterAutospacing="1" w:line="240" w:lineRule="auto"/>
        <w:ind w:left="135" w:hanging="360"/>
        <w:rPr>
          <w:rFonts w:ascii="Arial" w:eastAsia="Times New Roman" w:hAnsi="Arial" w:cs="Arial"/>
          <w:color w:val="333333"/>
          <w:sz w:val="20"/>
          <w:szCs w:val="20"/>
        </w:rPr>
      </w:pPr>
      <w:r>
        <w:rPr>
          <w:rFonts w:ascii="Arial" w:eastAsia="Times New Roman" w:hAnsi="Arial" w:cs="Arial"/>
          <w:color w:val="333333"/>
          <w:sz w:val="20"/>
          <w:szCs w:val="20"/>
          <w:lang w:val="sl"/>
        </w:rPr>
        <w:t>Prav tako priporoča vladam držav članic, da:</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zagotovijo, da ustrezne oblasti in deležniki dobijo prevod tega priporočila in dodatka (v dostopnih oblikah) za ozaveščanje o nadaljnjem razvoju kakovostnega mladinskega dela in krepitvi zavezanosti za to delo;</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Odbor ministrov prouči izvajanje tega priporočila pet let po njegovem sprejetju.</w:t>
      </w:r>
    </w:p>
    <w:p w:rsidR="00343ABD" w:rsidRPr="00343ABD" w:rsidRDefault="00343ABD" w:rsidP="00343ABD">
      <w:pPr>
        <w:keepNext/>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i/>
          <w:iCs/>
          <w:color w:val="000000"/>
          <w:sz w:val="20"/>
          <w:szCs w:val="20"/>
          <w:lang w:val="sl"/>
        </w:rPr>
        <w:t>Dodatek k priporočilu CM/Rec(2017)4</w:t>
      </w:r>
    </w:p>
    <w:p w:rsidR="00343ABD" w:rsidRPr="00343ABD" w:rsidRDefault="00343ABD" w:rsidP="00343ABD">
      <w:pPr>
        <w:spacing w:before="100" w:beforeAutospacing="1" w:after="100" w:afterAutospacing="1" w:line="240" w:lineRule="auto"/>
        <w:ind w:left="135" w:hanging="360"/>
        <w:outlineLvl w:val="1"/>
        <w:rPr>
          <w:rFonts w:ascii="Arial" w:eastAsia="Times New Roman" w:hAnsi="Arial" w:cs="Arial"/>
          <w:color w:val="262626"/>
          <w:sz w:val="20"/>
          <w:szCs w:val="20"/>
        </w:rPr>
      </w:pPr>
      <w:r>
        <w:rPr>
          <w:rFonts w:ascii="Arial" w:eastAsia="Times New Roman" w:hAnsi="Arial" w:cs="Arial"/>
          <w:color w:val="262626"/>
          <w:sz w:val="20"/>
          <w:szCs w:val="20"/>
          <w:lang w:val="sl"/>
        </w:rPr>
        <w:t>A. Obseg in namen priporočila – opredelitev in obseg mladinskega dela</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To priporočilo velja za vse oblike mladinskega dela. Namenjeno je spodbujanju držav članic, da v okviru svojih pristojnosti razvijajo mladinsko politiko in prakso, ter poziva države članice k sprejetju različnih ukrepov za krepitev podpore mladinskemu delu na lokalni, regionalni, nacionalni in evropski ravni.</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Starostni razpon mladih, ki imajo koristi od zagotavljanja mladinskega dela, naj bo skladen z zakonskim in ustavnim okvirom ter prakso posamezne države.</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xml:space="preserve">Izraz mladinsko delo ima širok pomen, ki vključuje zelo različne dejavnosti mladih, z mladimi, za mlade, skupinsko ali posamezno, na področju družbe, kulture, izobraževanja, okolja ali politike. Mladinsko delo opravljajo poklicni ali prostovoljni mladinski delavci, temelji pa na neformalnem in priložnostnem učenju, ki je osredotočeno na mlade in na </w:t>
      </w:r>
      <w:r w:rsidR="00B946EC">
        <w:rPr>
          <w:rFonts w:ascii="Arial" w:eastAsia="Times New Roman" w:hAnsi="Arial" w:cs="Arial"/>
          <w:color w:val="333333"/>
          <w:sz w:val="20"/>
          <w:szCs w:val="20"/>
          <w:lang w:val="sl"/>
        </w:rPr>
        <w:t xml:space="preserve">njihovo </w:t>
      </w:r>
      <w:r>
        <w:rPr>
          <w:rFonts w:ascii="Arial" w:eastAsia="Times New Roman" w:hAnsi="Arial" w:cs="Arial"/>
          <w:color w:val="333333"/>
          <w:sz w:val="20"/>
          <w:szCs w:val="20"/>
          <w:lang w:val="sl"/>
        </w:rPr>
        <w:t xml:space="preserve">prostovoljno sodelovanje. Mladinsko delo je pravzaprav družbena praksa, je delo z mladimi in družbo, v kateri živijo, ter omogoča </w:t>
      </w:r>
      <w:r w:rsidR="00803569">
        <w:rPr>
          <w:rFonts w:ascii="Arial" w:eastAsia="Times New Roman" w:hAnsi="Arial" w:cs="Arial"/>
          <w:color w:val="333333"/>
          <w:sz w:val="20"/>
          <w:szCs w:val="20"/>
          <w:lang w:val="sl"/>
        </w:rPr>
        <w:t xml:space="preserve">aktivno </w:t>
      </w:r>
      <w:r w:rsidR="00B946EC">
        <w:rPr>
          <w:rFonts w:ascii="Arial" w:eastAsia="Times New Roman" w:hAnsi="Arial" w:cs="Arial"/>
          <w:color w:val="333333"/>
          <w:sz w:val="20"/>
          <w:szCs w:val="20"/>
          <w:lang w:val="sl"/>
        </w:rPr>
        <w:t xml:space="preserve">participacijo </w:t>
      </w:r>
      <w:r>
        <w:rPr>
          <w:rFonts w:ascii="Arial" w:eastAsia="Times New Roman" w:hAnsi="Arial" w:cs="Arial"/>
          <w:color w:val="333333"/>
          <w:sz w:val="20"/>
          <w:szCs w:val="20"/>
          <w:lang w:val="sl"/>
        </w:rPr>
        <w:t>in vključitev mladih v njihove skupnosti in odločanje.</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lastRenderedPageBreak/>
        <w:t>Ne glede na različne tradicije in opredelitve je vsem skupno razumevanje, da je glavna naloga mladinskega dela spodbuditi in podpreti mlade pri iskanju ustvarjalne življenjske poti in vztrajanju na njej ter tako prispevati k njihovemu osebnemu in socialnemu razvoju in k širši družbi.</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xml:space="preserve">Mladinsko delo to doseže </w:t>
      </w:r>
      <w:r w:rsidR="00E00B87">
        <w:rPr>
          <w:rFonts w:ascii="Arial" w:eastAsia="Times New Roman" w:hAnsi="Arial" w:cs="Arial"/>
          <w:color w:val="333333"/>
          <w:sz w:val="20"/>
          <w:szCs w:val="20"/>
          <w:lang w:val="sl"/>
        </w:rPr>
        <w:t xml:space="preserve">z </w:t>
      </w:r>
      <w:proofErr w:type="spellStart"/>
      <w:r w:rsidR="00E00B87">
        <w:rPr>
          <w:rFonts w:ascii="Arial" w:eastAsia="Times New Roman" w:hAnsi="Arial" w:cs="Arial"/>
          <w:color w:val="333333"/>
          <w:sz w:val="20"/>
          <w:szCs w:val="20"/>
          <w:lang w:val="sl"/>
        </w:rPr>
        <w:t>opolnomočenjem</w:t>
      </w:r>
      <w:proofErr w:type="spellEnd"/>
      <w:r w:rsidR="00E00B87">
        <w:rPr>
          <w:rFonts w:ascii="Arial" w:eastAsia="Times New Roman" w:hAnsi="Arial" w:cs="Arial"/>
          <w:color w:val="333333"/>
          <w:sz w:val="20"/>
          <w:szCs w:val="20"/>
          <w:lang w:val="sl"/>
        </w:rPr>
        <w:t xml:space="preserve"> </w:t>
      </w:r>
      <w:r>
        <w:rPr>
          <w:rFonts w:ascii="Arial" w:eastAsia="Times New Roman" w:hAnsi="Arial" w:cs="Arial"/>
          <w:color w:val="333333"/>
          <w:sz w:val="20"/>
          <w:szCs w:val="20"/>
          <w:lang w:val="sl"/>
        </w:rPr>
        <w:t xml:space="preserve">mladih in njihovim vključevanjem v dejavno ustvarjanje, pripravljanje, izvajanje in ocenjevanje pobud in </w:t>
      </w:r>
      <w:r w:rsidR="00E00B87">
        <w:rPr>
          <w:rFonts w:ascii="Arial" w:eastAsia="Times New Roman" w:hAnsi="Arial" w:cs="Arial"/>
          <w:color w:val="333333"/>
          <w:sz w:val="20"/>
          <w:szCs w:val="20"/>
          <w:lang w:val="sl"/>
        </w:rPr>
        <w:t xml:space="preserve">aktivnosti, </w:t>
      </w:r>
      <w:r>
        <w:rPr>
          <w:rFonts w:ascii="Arial" w:eastAsia="Times New Roman" w:hAnsi="Arial" w:cs="Arial"/>
          <w:color w:val="333333"/>
          <w:sz w:val="20"/>
          <w:szCs w:val="20"/>
          <w:lang w:val="sl"/>
        </w:rPr>
        <w:t>ki odražajo njihove potrebe, interese, zamisli in izkušnje. Mladi z neformalnim in priložnostnim učenjem pridobivajo znanje, spretnosti, vrednote in notranjo naravnanost, ki jih potrebujejo za samozavestno napredovanje.</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xml:space="preserve">Za doseganje teh dosežkov naj mladinsko delo oblikuje spodbudno okolje, ki je dejavno vključujoče, družbeno zavzeto, ustvarjalno in varno, zabavno in resno, igrivo in načrtovano. Odlikuje naj se po dostopnosti, odprtosti in prilagodljivosti, obenem pa naj spodbuja dialog med mladimi in preostalo družbo. Osredotoči naj se na mlade ter ustvari prostore </w:t>
      </w:r>
      <w:r w:rsidR="0042462C">
        <w:rPr>
          <w:rFonts w:ascii="Arial" w:eastAsia="Times New Roman" w:hAnsi="Arial" w:cs="Arial"/>
          <w:color w:val="333333"/>
          <w:sz w:val="20"/>
          <w:szCs w:val="20"/>
          <w:lang w:val="sl"/>
        </w:rPr>
        <w:t xml:space="preserve">druženja in </w:t>
      </w:r>
      <w:r>
        <w:rPr>
          <w:rFonts w:ascii="Arial" w:eastAsia="Times New Roman" w:hAnsi="Arial" w:cs="Arial"/>
          <w:color w:val="333333"/>
          <w:sz w:val="20"/>
          <w:szCs w:val="20"/>
          <w:lang w:val="sl"/>
        </w:rPr>
        <w:t>mostove, ki podpirajo prehod v odraslost in samostojnost.</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Znano je, da mladinsko delo, pogosto v partnerstvu in sodelovanju z drugimi sektorji, ustvarja številne prednosti za posameznike, njihove skupnosti in družbo na splošno. Na primer:</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vodi do kritičnega razmisleka, inovacij in sprememb na lokalni, regionalni, nacionalni in evropski ravni;</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prispeva k blaginji mladih, krepi njihov občutek pripadnosti in sposobnost sprejemati koristne odločitve;</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xml:space="preserve">– podpira pozitivne in pomembne prehode v osebnem, državljanskem, gospodarskem in kulturnem življenju, omogoča razvoj kompetenc, ki omogočajo vseživljenjsko učenje, </w:t>
      </w:r>
      <w:r w:rsidR="00803569">
        <w:rPr>
          <w:rFonts w:ascii="Arial" w:eastAsia="Times New Roman" w:hAnsi="Arial" w:cs="Arial"/>
          <w:color w:val="333333"/>
          <w:sz w:val="20"/>
          <w:szCs w:val="20"/>
          <w:lang w:val="sl"/>
        </w:rPr>
        <w:t>aktivno</w:t>
      </w:r>
      <w:r w:rsidR="0042462C">
        <w:rPr>
          <w:rFonts w:ascii="Arial" w:eastAsia="Times New Roman" w:hAnsi="Arial" w:cs="Arial"/>
          <w:color w:val="333333"/>
          <w:sz w:val="20"/>
          <w:szCs w:val="20"/>
          <w:lang w:val="sl"/>
        </w:rPr>
        <w:t xml:space="preserve"> </w:t>
      </w:r>
      <w:r>
        <w:rPr>
          <w:rFonts w:ascii="Arial" w:eastAsia="Times New Roman" w:hAnsi="Arial" w:cs="Arial"/>
          <w:color w:val="333333"/>
          <w:sz w:val="20"/>
          <w:szCs w:val="20"/>
          <w:lang w:val="sl"/>
        </w:rPr>
        <w:t>državljanstvo in sodelovanje na trgu dela;</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spodbuja razvoj različnih znanj in spretnosti, na primer ustvarjalnost, kritično mišljenje, obvladovanje nasprotij, digitalno in informacijsko pismenost ter upravljavske sposobnosti;</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krepi različnost in prispeva k enakosti, trajnostnemu razvoju, medkulturnemu razumevanju, socialni koheziji, sodelovanju civilne družbe, demokratičnemu državljanstvu in podpira vrednote človekovih pravic;</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krepi odpornost mladih in s tem njihovo sposobnost upreti se negativnim vplivom in vedenju.</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Zaradi teh prednosti je ob zdajšnjih izzivih in nesorazmernih negativnih vplivih na mlade v Evropi ključno, da države članice vsem mladim zagotovijo dostop do kakovostnega mladinskega dela. Sicer so tveganja lahko zelo velika.</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Mladi so ključni vir graditve socialne in pravične Evrope. Družbe, ki dovolijo, da zdajšnje težke razmere ustvarjajo "izgubljeno generacijo" razočaranih in nedejavnih mladih, so v veliki nevarnosti, da se zamajeta njihova trdnost in povezanost. Primerna podpora mladim je pomembna in nujna naložba Evrope v sedanjost in prihodnost. Sicer je priložnost okrepiti sodobno civilno družbo izgubljena, povezanost družbe je ogrožena, zmožnost učinkovitega spoprijemanja z nekaterimi največjimi izzivi današnjega časa, kot so migracije, brezposelnost, socialna izključenost in nasilni ekstremizem, pa je oslabljena.</w:t>
      </w:r>
    </w:p>
    <w:p w:rsidR="00343ABD" w:rsidRPr="00343ABD" w:rsidRDefault="00343ABD" w:rsidP="00343ABD">
      <w:pPr>
        <w:spacing w:before="100" w:beforeAutospacing="1" w:after="100" w:afterAutospacing="1" w:line="240" w:lineRule="auto"/>
        <w:ind w:left="135" w:hanging="360"/>
        <w:outlineLvl w:val="1"/>
        <w:rPr>
          <w:rFonts w:ascii="Arial" w:eastAsia="Times New Roman" w:hAnsi="Arial" w:cs="Arial"/>
          <w:color w:val="262626"/>
          <w:sz w:val="20"/>
          <w:szCs w:val="20"/>
        </w:rPr>
      </w:pPr>
      <w:r>
        <w:rPr>
          <w:rFonts w:ascii="Arial" w:eastAsia="Times New Roman" w:hAnsi="Arial" w:cs="Arial"/>
          <w:color w:val="262626"/>
          <w:sz w:val="20"/>
          <w:szCs w:val="20"/>
          <w:lang w:val="sl"/>
        </w:rPr>
        <w:t>B. Načela</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000000"/>
          <w:sz w:val="20"/>
          <w:szCs w:val="20"/>
          <w:lang w:val="sl"/>
        </w:rPr>
        <w:t>Priporočilo temelji na vrednotah, načelih in koristih mladinskega dela, kot so zapisani v aktih, navedenih v besedilu.</w:t>
      </w:r>
      <w:r w:rsidR="00012667">
        <w:rPr>
          <w:rFonts w:ascii="Arial" w:eastAsia="Times New Roman" w:hAnsi="Arial" w:cs="Arial"/>
          <w:color w:val="000000"/>
          <w:sz w:val="20"/>
          <w:szCs w:val="20"/>
          <w:lang w:val="sl"/>
        </w:rPr>
        <w:t xml:space="preserve"> </w:t>
      </w:r>
      <w:r>
        <w:rPr>
          <w:rFonts w:ascii="Arial" w:eastAsia="Times New Roman" w:hAnsi="Arial" w:cs="Arial"/>
          <w:color w:val="333333"/>
          <w:sz w:val="20"/>
          <w:szCs w:val="20"/>
          <w:lang w:val="sl"/>
        </w:rPr>
        <w:t xml:space="preserve">Načrtovanje in izvajanje mladinskega dela temeljita na načelih prostovoljnega in </w:t>
      </w:r>
      <w:r w:rsidR="0042462C">
        <w:rPr>
          <w:rFonts w:ascii="Arial" w:eastAsia="Times New Roman" w:hAnsi="Arial" w:cs="Arial"/>
          <w:color w:val="333333"/>
          <w:sz w:val="20"/>
          <w:szCs w:val="20"/>
          <w:lang w:val="sl"/>
        </w:rPr>
        <w:t xml:space="preserve">aktivnega </w:t>
      </w:r>
      <w:r>
        <w:rPr>
          <w:rFonts w:ascii="Arial" w:eastAsia="Times New Roman" w:hAnsi="Arial" w:cs="Arial"/>
          <w:color w:val="333333"/>
          <w:sz w:val="20"/>
          <w:szCs w:val="20"/>
          <w:lang w:val="sl"/>
        </w:rPr>
        <w:t>sodelovanja, enakega dostopa, odprtosti in prilagodljivosti. Mladinsko delo naj temelji na pravicah, naj bo vključujoče in usmerjeno na mlade, njihove potrebe in sposobnosti.</w:t>
      </w:r>
    </w:p>
    <w:p w:rsidR="00343ABD" w:rsidRPr="00343ABD" w:rsidRDefault="0042462C"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lastRenderedPageBreak/>
        <w:t xml:space="preserve">Participacija </w:t>
      </w:r>
      <w:r w:rsidR="00343ABD">
        <w:rPr>
          <w:rFonts w:ascii="Arial" w:eastAsia="Times New Roman" w:hAnsi="Arial" w:cs="Arial"/>
          <w:color w:val="333333"/>
          <w:sz w:val="20"/>
          <w:szCs w:val="20"/>
          <w:lang w:val="sl"/>
        </w:rPr>
        <w:t>je eno ključnih načel mladinskega dela, zato so mladi, mladinski delavci ter mladinske in druge organizacije, ki zagotavljajo mladinsko delo, priznani kot dejavni partnerji pri razvijanju, izvajanju in ocenjevanju politike mladinskega dela in prakse.</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xml:space="preserve">Države članice naj pri nadaljnjem delu v zvezi s priporočili in ukrepi zagotovijo </w:t>
      </w:r>
      <w:r w:rsidR="0042462C">
        <w:rPr>
          <w:rFonts w:ascii="Arial" w:eastAsia="Times New Roman" w:hAnsi="Arial" w:cs="Arial"/>
          <w:color w:val="333333"/>
          <w:sz w:val="20"/>
          <w:szCs w:val="20"/>
          <w:lang w:val="sl"/>
        </w:rPr>
        <w:t xml:space="preserve">aktivno participacijo </w:t>
      </w:r>
      <w:r>
        <w:rPr>
          <w:rFonts w:ascii="Arial" w:eastAsia="Times New Roman" w:hAnsi="Arial" w:cs="Arial"/>
          <w:color w:val="333333"/>
          <w:sz w:val="20"/>
          <w:szCs w:val="20"/>
          <w:lang w:val="sl"/>
        </w:rPr>
        <w:t>teh deležnikov.</w:t>
      </w:r>
    </w:p>
    <w:p w:rsidR="00343ABD" w:rsidRPr="00343ABD" w:rsidRDefault="00343ABD" w:rsidP="00343ABD">
      <w:pPr>
        <w:spacing w:before="100" w:beforeAutospacing="1" w:after="100" w:afterAutospacing="1" w:line="240" w:lineRule="auto"/>
        <w:ind w:left="135" w:hanging="360"/>
        <w:outlineLvl w:val="1"/>
        <w:rPr>
          <w:rFonts w:ascii="Arial" w:eastAsia="Times New Roman" w:hAnsi="Arial" w:cs="Arial"/>
          <w:color w:val="262626"/>
          <w:sz w:val="20"/>
          <w:szCs w:val="20"/>
        </w:rPr>
      </w:pPr>
      <w:r>
        <w:rPr>
          <w:rFonts w:ascii="Arial" w:eastAsia="Times New Roman" w:hAnsi="Arial" w:cs="Arial"/>
          <w:color w:val="262626"/>
          <w:sz w:val="20"/>
          <w:szCs w:val="20"/>
          <w:lang w:val="sl"/>
        </w:rPr>
        <w:t>C. Ukrepi</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Pri sprejemanju politik, ki zagotavljajo in dejavno podpirajo vzpostavitev in nadaljnji razvoj mladinskega dela na vseh ravneh, naj države članice:</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i. zagotovijo spodbudno okolje in pogoje za ustaljene in inovativne prakse mladinskega dela (tudi trajnostne strukture in vire), predvsem na lokalni ravni, pri čemer naj upoštevajo, da so regionalne, nacionalne in mednarodne priložnosti ter sodelovanje koristni za mladinsko delo;</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ii. okrepijo vlogo in položaj mladinskega dela ter tako omogočijo medsektorsko sodelovanje med mladinskim delom – ne glede na to, ali ga zagotavljajo državni organi, zasebni sektor ali civilna družba – in drugimi sektorji, na primer tudi: socialnim varstvom, zdravjem, športom, kulturo, formalnim izobraževanjem, službami za zaposlovanje in kazenskopravnim sistemom;</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000000"/>
          <w:sz w:val="20"/>
          <w:szCs w:val="20"/>
          <w:lang w:val="sl"/>
        </w:rPr>
        <w:t xml:space="preserve">iii. </w:t>
      </w:r>
      <w:r>
        <w:rPr>
          <w:rFonts w:ascii="Arial" w:eastAsia="Times New Roman" w:hAnsi="Arial" w:cs="Arial"/>
          <w:color w:val="333333"/>
          <w:sz w:val="20"/>
          <w:szCs w:val="20"/>
          <w:lang w:val="sl"/>
        </w:rPr>
        <w:t>spodbujajo in podpirajo usklajevanje med lokalno, regionalno, nacionalno in evropsko ravnjo mladinskega dela, s čimer omogočijo mreženje, sodelovanje, vzajemno učenje in izmenjave;</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000000"/>
          <w:sz w:val="20"/>
          <w:szCs w:val="20"/>
          <w:lang w:val="sl"/>
        </w:rPr>
        <w:t>iv. spodbujajo priznavanje</w:t>
      </w:r>
      <w:r>
        <w:rPr>
          <w:rFonts w:ascii="Arial" w:eastAsia="Times New Roman" w:hAnsi="Arial" w:cs="Arial"/>
          <w:color w:val="333333"/>
          <w:sz w:val="20"/>
          <w:szCs w:val="20"/>
          <w:lang w:val="sl"/>
        </w:rPr>
        <w:t xml:space="preserve"> </w:t>
      </w:r>
      <w:r>
        <w:rPr>
          <w:rFonts w:ascii="Arial" w:eastAsia="Times New Roman" w:hAnsi="Arial" w:cs="Arial"/>
          <w:color w:val="000000"/>
          <w:sz w:val="20"/>
          <w:szCs w:val="20"/>
          <w:lang w:val="sl"/>
        </w:rPr>
        <w:t>vrednot, notranje naravnanosti, spretnosti, znanja in kritičnega mišljenja, ki se razvijejo pri sodelovanju v mladinskem delu in pri njegovem opravljanju;</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v. spodbujajo enak dostop do mladinskega dela;</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vi. spodbujajo vlogo mladinskega dela:</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z obveščanjem mladih o njihovih pravicah in možnostih ter storitvah, ki so jim na voljo;</w:t>
      </w:r>
    </w:p>
    <w:p w:rsidR="00343ABD" w:rsidRPr="00343ABD" w:rsidRDefault="00343ABD" w:rsidP="007E0500">
      <w:pPr>
        <w:spacing w:before="100" w:beforeAutospacing="1" w:after="100" w:afterAutospacing="1" w:line="240" w:lineRule="auto"/>
        <w:ind w:left="142" w:hanging="142"/>
        <w:rPr>
          <w:rFonts w:ascii="Arial" w:eastAsia="Times New Roman" w:hAnsi="Arial" w:cs="Arial"/>
          <w:color w:val="333333"/>
          <w:sz w:val="20"/>
          <w:szCs w:val="20"/>
        </w:rPr>
      </w:pPr>
      <w:r>
        <w:rPr>
          <w:rFonts w:ascii="Arial" w:eastAsia="Times New Roman" w:hAnsi="Arial" w:cs="Arial"/>
          <w:color w:val="333333"/>
          <w:sz w:val="20"/>
          <w:szCs w:val="20"/>
          <w:lang w:val="sl"/>
        </w:rPr>
        <w:t xml:space="preserve">– s krepitvijo </w:t>
      </w:r>
      <w:r w:rsidR="0042462C">
        <w:rPr>
          <w:rFonts w:ascii="Arial" w:eastAsia="Times New Roman" w:hAnsi="Arial" w:cs="Arial"/>
          <w:color w:val="333333"/>
          <w:sz w:val="20"/>
          <w:szCs w:val="20"/>
          <w:lang w:val="sl"/>
        </w:rPr>
        <w:t xml:space="preserve">aktivnega </w:t>
      </w:r>
      <w:r>
        <w:rPr>
          <w:rFonts w:ascii="Arial" w:eastAsia="Times New Roman" w:hAnsi="Arial" w:cs="Arial"/>
          <w:color w:val="333333"/>
          <w:sz w:val="20"/>
          <w:szCs w:val="20"/>
          <w:lang w:val="sl"/>
        </w:rPr>
        <w:t xml:space="preserve">državljanstva, sodelovanja in socialne vključenosti mladih, predvsem </w:t>
      </w:r>
      <w:r w:rsidR="007E0500">
        <w:rPr>
          <w:rFonts w:ascii="Arial" w:eastAsia="Times New Roman" w:hAnsi="Arial" w:cs="Arial"/>
          <w:color w:val="333333"/>
          <w:sz w:val="20"/>
          <w:szCs w:val="20"/>
          <w:lang w:val="sl"/>
        </w:rPr>
        <w:t xml:space="preserve">     </w:t>
      </w:r>
      <w:r>
        <w:rPr>
          <w:rFonts w:ascii="Arial" w:eastAsia="Times New Roman" w:hAnsi="Arial" w:cs="Arial"/>
          <w:color w:val="333333"/>
          <w:sz w:val="20"/>
          <w:szCs w:val="20"/>
          <w:lang w:val="sl"/>
        </w:rPr>
        <w:t>ogroženih in potisnjenih na rob družbe;</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s širitvijo medkulturnih kompetenc, evropske identitete in mednarodnega razumevanja med mladimi;</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s spodbujanjem mladih k doseganju trajnostnih razvojnih ciljev v njihovem življenjskem okolju;</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z obravnavanjem in preprečevanjem diskriminacije, nestrpnosti in socialne izključenosti;</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 s krepitvijo neformalnega in priložnostnega učenja;</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vii. spoštujejo svobodo, samostojnost in neodvisnost mladinskih organizacij in drugih nevladnih organizacij, ki se ukvarjajo z mladinskim delom;</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viii. spodbujajo na znanju temelječe mladinsko delo, ki se lahko odzove na spremembe in smeri razvoja naših družb ter na nove izzive, s katerimi se spoprijemajo mladi;</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ix. spodbujajo raziskovanje, ocenjevanje in nenehno nadaljnje spremljanje razvoja na znanju temelječega kakovostnega mladinskega dela ter zagotavljajo načine merjenja njegovih rezultatov in vplivov.</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Pri oblikovanju povezanega, prilagodljivega in na kompetencah temelječega okvira za izobraževanje in usposabljanja poklicnih in prostovoljnih mladinskih delavcev naj države članice:</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lastRenderedPageBreak/>
        <w:t>i. skupaj z izvajalci mladinskega dela in drugimi deležniki razvijejo sklop ključnih kompetenc (na primer vrednot, notranje naravnanosti, spretnosti, znanja in kritičnega razumevanja), ki naj jih imajo mladinski delavci;</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ii. vzpostavijo okvire, strategije, programe in poti izobraževanja, usposabljanja, krepitve zmogljivosti in strokovnega razvoja mladinskih delavcev, ki naj temeljijo na dogovorjenem sklopu kompetenc;</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iii. vzpostavijo nove in naprej razvijajo zdajšnje načine dokumentiranja, ocenjevanja, potrjevanja in priznavanja kompetenc, ki jih poklicni in prostovoljni mladinski delavci pridobijo v praksi;</w:t>
      </w:r>
    </w:p>
    <w:p w:rsidR="00343ABD" w:rsidRPr="00343ABD" w:rsidRDefault="00343ABD" w:rsidP="00343ABD">
      <w:p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lang w:val="sl"/>
        </w:rPr>
        <w:t>iv. bolj podprejo izvajanje veljavnih in prihodnjih evropskih okvirov in programov za priznavanje neformalnega in priložnostnega učenja.</w:t>
      </w:r>
    </w:p>
    <w:p w:rsidR="00B05798" w:rsidRPr="00343ABD" w:rsidRDefault="00B05798">
      <w:pPr>
        <w:rPr>
          <w:rFonts w:ascii="Arial" w:hAnsi="Arial" w:cs="Arial"/>
          <w:sz w:val="20"/>
          <w:szCs w:val="20"/>
        </w:rPr>
      </w:pPr>
    </w:p>
    <w:sectPr w:rsidR="00B05798" w:rsidRPr="00343A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BD"/>
    <w:rsid w:val="00012667"/>
    <w:rsid w:val="00343ABD"/>
    <w:rsid w:val="0042462C"/>
    <w:rsid w:val="007D25E3"/>
    <w:rsid w:val="007E0500"/>
    <w:rsid w:val="00803569"/>
    <w:rsid w:val="00B05798"/>
    <w:rsid w:val="00B67373"/>
    <w:rsid w:val="00B946EC"/>
    <w:rsid w:val="00D2055C"/>
    <w:rsid w:val="00E00B87"/>
    <w:rsid w:val="00EC3C76"/>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343ABD"/>
    <w:pPr>
      <w:spacing w:before="100" w:beforeAutospacing="1" w:after="100" w:afterAutospacing="1" w:line="240" w:lineRule="auto"/>
      <w:outlineLvl w:val="1"/>
    </w:pPr>
    <w:rPr>
      <w:rFonts w:ascii="Segoe UI" w:eastAsia="Times New Roman" w:hAnsi="Segoe UI" w:cs="Segoe UI"/>
      <w:color w:val="262626"/>
      <w:sz w:val="35"/>
      <w:szCs w:val="35"/>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343ABD"/>
    <w:rPr>
      <w:rFonts w:ascii="Segoe UI" w:eastAsia="Times New Roman" w:hAnsi="Segoe UI" w:cs="Segoe UI"/>
      <w:color w:val="262626"/>
      <w:sz w:val="35"/>
      <w:szCs w:val="35"/>
      <w:lang w:eastAsia="sl-SI"/>
    </w:rPr>
  </w:style>
  <w:style w:type="character" w:styleId="Krepko">
    <w:name w:val="Strong"/>
    <w:basedOn w:val="Privzetapisavaodstavka"/>
    <w:uiPriority w:val="22"/>
    <w:qFormat/>
    <w:rsid w:val="00343ABD"/>
    <w:rPr>
      <w:b/>
      <w:bCs/>
    </w:rPr>
  </w:style>
  <w:style w:type="character" w:styleId="Poudarek">
    <w:name w:val="Emphasis"/>
    <w:basedOn w:val="Privzetapisavaodstavka"/>
    <w:uiPriority w:val="20"/>
    <w:qFormat/>
    <w:rsid w:val="00343ABD"/>
    <w:rPr>
      <w:i/>
      <w:iCs/>
    </w:rPr>
  </w:style>
  <w:style w:type="paragraph" w:styleId="Odstavekseznama">
    <w:name w:val="List Paragraph"/>
    <w:basedOn w:val="Navaden"/>
    <w:uiPriority w:val="34"/>
    <w:qFormat/>
    <w:rsid w:val="00343AB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Pripombabesedilo">
    <w:name w:val="annotation text"/>
    <w:basedOn w:val="Navaden"/>
    <w:link w:val="PripombabesediloZnak"/>
    <w:uiPriority w:val="99"/>
    <w:semiHidden/>
    <w:unhideWhenUsed/>
    <w:rsid w:val="00343AB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PripombabesediloZnak">
    <w:name w:val="Pripomba – besedilo Znak"/>
    <w:basedOn w:val="Privzetapisavaodstavka"/>
    <w:link w:val="Pripombabesedilo"/>
    <w:uiPriority w:val="99"/>
    <w:semiHidden/>
    <w:rsid w:val="00343ABD"/>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343A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343ABD"/>
    <w:pPr>
      <w:spacing w:before="100" w:beforeAutospacing="1" w:after="100" w:afterAutospacing="1" w:line="240" w:lineRule="auto"/>
      <w:outlineLvl w:val="1"/>
    </w:pPr>
    <w:rPr>
      <w:rFonts w:ascii="Segoe UI" w:eastAsia="Times New Roman" w:hAnsi="Segoe UI" w:cs="Segoe UI"/>
      <w:color w:val="262626"/>
      <w:sz w:val="35"/>
      <w:szCs w:val="35"/>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343ABD"/>
    <w:rPr>
      <w:rFonts w:ascii="Segoe UI" w:eastAsia="Times New Roman" w:hAnsi="Segoe UI" w:cs="Segoe UI"/>
      <w:color w:val="262626"/>
      <w:sz w:val="35"/>
      <w:szCs w:val="35"/>
      <w:lang w:eastAsia="sl-SI"/>
    </w:rPr>
  </w:style>
  <w:style w:type="character" w:styleId="Krepko">
    <w:name w:val="Strong"/>
    <w:basedOn w:val="Privzetapisavaodstavka"/>
    <w:uiPriority w:val="22"/>
    <w:qFormat/>
    <w:rsid w:val="00343ABD"/>
    <w:rPr>
      <w:b/>
      <w:bCs/>
    </w:rPr>
  </w:style>
  <w:style w:type="character" w:styleId="Poudarek">
    <w:name w:val="Emphasis"/>
    <w:basedOn w:val="Privzetapisavaodstavka"/>
    <w:uiPriority w:val="20"/>
    <w:qFormat/>
    <w:rsid w:val="00343ABD"/>
    <w:rPr>
      <w:i/>
      <w:iCs/>
    </w:rPr>
  </w:style>
  <w:style w:type="paragraph" w:styleId="Odstavekseznama">
    <w:name w:val="List Paragraph"/>
    <w:basedOn w:val="Navaden"/>
    <w:uiPriority w:val="34"/>
    <w:qFormat/>
    <w:rsid w:val="00343AB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Pripombabesedilo">
    <w:name w:val="annotation text"/>
    <w:basedOn w:val="Navaden"/>
    <w:link w:val="PripombabesediloZnak"/>
    <w:uiPriority w:val="99"/>
    <w:semiHidden/>
    <w:unhideWhenUsed/>
    <w:rsid w:val="00343AB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PripombabesediloZnak">
    <w:name w:val="Pripomba – besedilo Znak"/>
    <w:basedOn w:val="Privzetapisavaodstavka"/>
    <w:link w:val="Pripombabesedilo"/>
    <w:uiPriority w:val="99"/>
    <w:semiHidden/>
    <w:rsid w:val="00343ABD"/>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34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422333">
      <w:bodyDiv w:val="1"/>
      <w:marLeft w:val="0"/>
      <w:marRight w:val="0"/>
      <w:marTop w:val="0"/>
      <w:marBottom w:val="0"/>
      <w:divBdr>
        <w:top w:val="none" w:sz="0" w:space="0" w:color="auto"/>
        <w:left w:val="none" w:sz="0" w:space="0" w:color="auto"/>
        <w:bottom w:val="none" w:sz="0" w:space="0" w:color="auto"/>
        <w:right w:val="none" w:sz="0" w:space="0" w:color="auto"/>
      </w:divBdr>
      <w:divsChild>
        <w:div w:id="802767770">
          <w:marLeft w:val="0"/>
          <w:marRight w:val="0"/>
          <w:marTop w:val="0"/>
          <w:marBottom w:val="0"/>
          <w:divBdr>
            <w:top w:val="none" w:sz="0" w:space="0" w:color="auto"/>
            <w:left w:val="none" w:sz="0" w:space="0" w:color="auto"/>
            <w:bottom w:val="none" w:sz="0" w:space="0" w:color="auto"/>
            <w:right w:val="none" w:sz="0" w:space="0" w:color="auto"/>
          </w:divBdr>
          <w:divsChild>
            <w:div w:id="802308826">
              <w:marLeft w:val="0"/>
              <w:marRight w:val="0"/>
              <w:marTop w:val="0"/>
              <w:marBottom w:val="0"/>
              <w:divBdr>
                <w:top w:val="none" w:sz="0" w:space="0" w:color="auto"/>
                <w:left w:val="none" w:sz="0" w:space="0" w:color="auto"/>
                <w:bottom w:val="none" w:sz="0" w:space="0" w:color="auto"/>
                <w:right w:val="none" w:sz="0" w:space="0" w:color="auto"/>
              </w:divBdr>
              <w:divsChild>
                <w:div w:id="1030186199">
                  <w:marLeft w:val="0"/>
                  <w:marRight w:val="0"/>
                  <w:marTop w:val="0"/>
                  <w:marBottom w:val="0"/>
                  <w:divBdr>
                    <w:top w:val="none" w:sz="0" w:space="0" w:color="auto"/>
                    <w:left w:val="none" w:sz="0" w:space="0" w:color="auto"/>
                    <w:bottom w:val="none" w:sz="0" w:space="0" w:color="auto"/>
                    <w:right w:val="none" w:sz="0" w:space="0" w:color="auto"/>
                  </w:divBdr>
                  <w:divsChild>
                    <w:div w:id="1228691704">
                      <w:marLeft w:val="0"/>
                      <w:marRight w:val="0"/>
                      <w:marTop w:val="0"/>
                      <w:marBottom w:val="0"/>
                      <w:divBdr>
                        <w:top w:val="none" w:sz="0" w:space="0" w:color="auto"/>
                        <w:left w:val="none" w:sz="0" w:space="0" w:color="auto"/>
                        <w:bottom w:val="none" w:sz="0" w:space="0" w:color="auto"/>
                        <w:right w:val="none" w:sz="0" w:space="0" w:color="auto"/>
                      </w:divBdr>
                      <w:divsChild>
                        <w:div w:id="586886532">
                          <w:marLeft w:val="0"/>
                          <w:marRight w:val="0"/>
                          <w:marTop w:val="0"/>
                          <w:marBottom w:val="0"/>
                          <w:divBdr>
                            <w:top w:val="none" w:sz="0" w:space="0" w:color="auto"/>
                            <w:left w:val="none" w:sz="0" w:space="0" w:color="auto"/>
                            <w:bottom w:val="none" w:sz="0" w:space="0" w:color="auto"/>
                            <w:right w:val="none" w:sz="0" w:space="0" w:color="auto"/>
                          </w:divBdr>
                          <w:divsChild>
                            <w:div w:id="1843006729">
                              <w:marLeft w:val="0"/>
                              <w:marRight w:val="0"/>
                              <w:marTop w:val="0"/>
                              <w:marBottom w:val="0"/>
                              <w:divBdr>
                                <w:top w:val="none" w:sz="0" w:space="0" w:color="auto"/>
                                <w:left w:val="none" w:sz="0" w:space="0" w:color="auto"/>
                                <w:bottom w:val="none" w:sz="0" w:space="0" w:color="auto"/>
                                <w:right w:val="none" w:sz="0" w:space="0" w:color="auto"/>
                              </w:divBdr>
                              <w:divsChild>
                                <w:div w:id="1612778626">
                                  <w:marLeft w:val="-225"/>
                                  <w:marRight w:val="-225"/>
                                  <w:marTop w:val="0"/>
                                  <w:marBottom w:val="0"/>
                                  <w:divBdr>
                                    <w:top w:val="none" w:sz="0" w:space="0" w:color="auto"/>
                                    <w:left w:val="none" w:sz="0" w:space="0" w:color="auto"/>
                                    <w:bottom w:val="none" w:sz="0" w:space="0" w:color="auto"/>
                                    <w:right w:val="none" w:sz="0" w:space="0" w:color="auto"/>
                                  </w:divBdr>
                                  <w:divsChild>
                                    <w:div w:id="816533589">
                                      <w:marLeft w:val="0"/>
                                      <w:marRight w:val="0"/>
                                      <w:marTop w:val="0"/>
                                      <w:marBottom w:val="0"/>
                                      <w:divBdr>
                                        <w:top w:val="none" w:sz="0" w:space="0" w:color="auto"/>
                                        <w:left w:val="none" w:sz="0" w:space="0" w:color="auto"/>
                                        <w:bottom w:val="none" w:sz="0" w:space="0" w:color="auto"/>
                                        <w:right w:val="none" w:sz="0" w:space="0" w:color="auto"/>
                                      </w:divBdr>
                                      <w:divsChild>
                                        <w:div w:id="1317566590">
                                          <w:marLeft w:val="0"/>
                                          <w:marRight w:val="0"/>
                                          <w:marTop w:val="0"/>
                                          <w:marBottom w:val="0"/>
                                          <w:divBdr>
                                            <w:top w:val="none" w:sz="0" w:space="0" w:color="auto"/>
                                            <w:left w:val="none" w:sz="0" w:space="0" w:color="auto"/>
                                            <w:bottom w:val="none" w:sz="0" w:space="0" w:color="auto"/>
                                            <w:right w:val="none" w:sz="0" w:space="0" w:color="auto"/>
                                          </w:divBdr>
                                          <w:divsChild>
                                            <w:div w:id="1507405919">
                                              <w:marLeft w:val="0"/>
                                              <w:marRight w:val="0"/>
                                              <w:marTop w:val="0"/>
                                              <w:marBottom w:val="0"/>
                                              <w:divBdr>
                                                <w:top w:val="single" w:sz="6" w:space="0" w:color="EEEEEE"/>
                                                <w:left w:val="single" w:sz="6" w:space="0" w:color="EEEEEE"/>
                                                <w:bottom w:val="single" w:sz="6" w:space="0" w:color="EEEEEE"/>
                                                <w:right w:val="single" w:sz="6" w:space="0" w:color="EEEEEE"/>
                                              </w:divBdr>
                                              <w:divsChild>
                                                <w:div w:id="1233084729">
                                                  <w:marLeft w:val="0"/>
                                                  <w:marRight w:val="0"/>
                                                  <w:marTop w:val="0"/>
                                                  <w:marBottom w:val="0"/>
                                                  <w:divBdr>
                                                    <w:top w:val="none" w:sz="0" w:space="0" w:color="auto"/>
                                                    <w:left w:val="none" w:sz="0" w:space="0" w:color="auto"/>
                                                    <w:bottom w:val="none" w:sz="0" w:space="0" w:color="auto"/>
                                                    <w:right w:val="none" w:sz="0" w:space="0" w:color="auto"/>
                                                  </w:divBdr>
                                                  <w:divsChild>
                                                    <w:div w:id="1012072730">
                                                      <w:marLeft w:val="0"/>
                                                      <w:marRight w:val="0"/>
                                                      <w:marTop w:val="0"/>
                                                      <w:marBottom w:val="0"/>
                                                      <w:divBdr>
                                                        <w:top w:val="none" w:sz="0" w:space="0" w:color="auto"/>
                                                        <w:left w:val="none" w:sz="0" w:space="0" w:color="auto"/>
                                                        <w:bottom w:val="none" w:sz="0" w:space="0" w:color="auto"/>
                                                        <w:right w:val="none" w:sz="0" w:space="0" w:color="auto"/>
                                                      </w:divBdr>
                                                      <w:divsChild>
                                                        <w:div w:id="1227182304">
                                                          <w:marLeft w:val="0"/>
                                                          <w:marRight w:val="0"/>
                                                          <w:marTop w:val="0"/>
                                                          <w:marBottom w:val="0"/>
                                                          <w:divBdr>
                                                            <w:top w:val="none" w:sz="0" w:space="0" w:color="auto"/>
                                                            <w:left w:val="none" w:sz="0" w:space="0" w:color="auto"/>
                                                            <w:bottom w:val="none" w:sz="0" w:space="0" w:color="auto"/>
                                                            <w:right w:val="none" w:sz="0" w:space="0" w:color="auto"/>
                                                          </w:divBdr>
                                                          <w:divsChild>
                                                            <w:div w:id="262612109">
                                                              <w:marLeft w:val="0"/>
                                                              <w:marRight w:val="0"/>
                                                              <w:marTop w:val="0"/>
                                                              <w:marBottom w:val="0"/>
                                                              <w:divBdr>
                                                                <w:top w:val="none" w:sz="0" w:space="0" w:color="auto"/>
                                                                <w:left w:val="none" w:sz="0" w:space="0" w:color="auto"/>
                                                                <w:bottom w:val="none" w:sz="0" w:space="0" w:color="auto"/>
                                                                <w:right w:val="none" w:sz="0" w:space="0" w:color="auto"/>
                                                              </w:divBdr>
                                                              <w:divsChild>
                                                                <w:div w:id="234320277">
                                                                  <w:marLeft w:val="0"/>
                                                                  <w:marRight w:val="0"/>
                                                                  <w:marTop w:val="0"/>
                                                                  <w:marBottom w:val="0"/>
                                                                  <w:divBdr>
                                                                    <w:top w:val="none" w:sz="0" w:space="0" w:color="auto"/>
                                                                    <w:left w:val="none" w:sz="0" w:space="0" w:color="auto"/>
                                                                    <w:bottom w:val="none" w:sz="0" w:space="0" w:color="auto"/>
                                                                    <w:right w:val="none" w:sz="0" w:space="0" w:color="auto"/>
                                                                  </w:divBdr>
                                                                  <w:divsChild>
                                                                    <w:div w:id="1212229061">
                                                                      <w:marLeft w:val="0"/>
                                                                      <w:marRight w:val="0"/>
                                                                      <w:marTop w:val="0"/>
                                                                      <w:marBottom w:val="0"/>
                                                                      <w:divBdr>
                                                                        <w:top w:val="none" w:sz="0" w:space="0" w:color="auto"/>
                                                                        <w:left w:val="none" w:sz="0" w:space="0" w:color="auto"/>
                                                                        <w:bottom w:val="none" w:sz="0" w:space="0" w:color="auto"/>
                                                                        <w:right w:val="none" w:sz="0" w:space="0" w:color="auto"/>
                                                                      </w:divBdr>
                                                                      <w:divsChild>
                                                                        <w:div w:id="327825210">
                                                                          <w:marLeft w:val="0"/>
                                                                          <w:marRight w:val="0"/>
                                                                          <w:marTop w:val="0"/>
                                                                          <w:marBottom w:val="0"/>
                                                                          <w:divBdr>
                                                                            <w:top w:val="none" w:sz="0" w:space="0" w:color="auto"/>
                                                                            <w:left w:val="none" w:sz="0" w:space="0" w:color="auto"/>
                                                                            <w:bottom w:val="none" w:sz="0" w:space="0" w:color="auto"/>
                                                                            <w:right w:val="none" w:sz="0" w:space="0" w:color="auto"/>
                                                                          </w:divBdr>
                                                                          <w:divsChild>
                                                                            <w:div w:id="984164569">
                                                                              <w:marLeft w:val="0"/>
                                                                              <w:marRight w:val="0"/>
                                                                              <w:marTop w:val="0"/>
                                                                              <w:marBottom w:val="0"/>
                                                                              <w:divBdr>
                                                                                <w:top w:val="none" w:sz="0" w:space="0" w:color="auto"/>
                                                                                <w:left w:val="none" w:sz="0" w:space="0" w:color="auto"/>
                                                                                <w:bottom w:val="none" w:sz="0" w:space="0" w:color="auto"/>
                                                                                <w:right w:val="none" w:sz="0" w:space="0" w:color="auto"/>
                                                                              </w:divBdr>
                                                                              <w:divsChild>
                                                                                <w:div w:id="1061247651">
                                                                                  <w:marLeft w:val="0"/>
                                                                                  <w:marRight w:val="0"/>
                                                                                  <w:marTop w:val="0"/>
                                                                                  <w:marBottom w:val="0"/>
                                                                                  <w:divBdr>
                                                                                    <w:top w:val="none" w:sz="0" w:space="0" w:color="auto"/>
                                                                                    <w:left w:val="none" w:sz="0" w:space="0" w:color="auto"/>
                                                                                    <w:bottom w:val="none" w:sz="0" w:space="0" w:color="auto"/>
                                                                                    <w:right w:val="none" w:sz="0" w:space="0" w:color="auto"/>
                                                                                  </w:divBdr>
                                                                                  <w:divsChild>
                                                                                    <w:div w:id="7814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e.int/cm/Pages/result_details.aspx?Reference=Rec(2006)1" TargetMode="External"/><Relationship Id="rId13" Type="http://schemas.openxmlformats.org/officeDocument/2006/relationships/hyperlink" Target="https://search.coe.int/cm/Pages/result_details.aspx?Reference=CM/Rec(2012)13" TargetMode="External"/><Relationship Id="rId3" Type="http://schemas.openxmlformats.org/officeDocument/2006/relationships/settings" Target="settings.xml"/><Relationship Id="rId7" Type="http://schemas.openxmlformats.org/officeDocument/2006/relationships/hyperlink" Target="https://search.coe.int/cm/Pages/result_details.aspx?Reference=Rec(2004)13" TargetMode="External"/><Relationship Id="rId12" Type="http://schemas.openxmlformats.org/officeDocument/2006/relationships/hyperlink" Target="https://search.coe.int/cm/Pages/result_details.aspx?Reference=CM/Rec(2012)2"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earch.coe.int/cm/Pages/result_details.aspx?Reference=Rec(2003)8" TargetMode="External"/><Relationship Id="rId11" Type="http://schemas.openxmlformats.org/officeDocument/2006/relationships/hyperlink" Target="https://search.coe.int/cm/Pages/result_details.aspx?Reference=CM/Rec(2010)8" TargetMode="External"/><Relationship Id="rId5" Type="http://schemas.openxmlformats.org/officeDocument/2006/relationships/hyperlink" Target="https://search.coe.int/cm/Pages/result_details.aspx?Reference=CM/Res(2008)23" TargetMode="External"/><Relationship Id="rId15" Type="http://schemas.openxmlformats.org/officeDocument/2006/relationships/hyperlink" Target="https://search.coe.int/cm/Pages/result_details.aspx?Reference=CM/Rec(2016)7" TargetMode="External"/><Relationship Id="rId10" Type="http://schemas.openxmlformats.org/officeDocument/2006/relationships/hyperlink" Target="https://search.coe.int/cm/Pages/result_details.aspx?Reference=CM/Rec(2010)7" TargetMode="External"/><Relationship Id="rId4" Type="http://schemas.openxmlformats.org/officeDocument/2006/relationships/webSettings" Target="webSettings.xml"/><Relationship Id="rId9" Type="http://schemas.openxmlformats.org/officeDocument/2006/relationships/hyperlink" Target="https://search.coe.int/cm/Pages/result_details.aspx?Reference=CM/Rec(2007)13" TargetMode="External"/><Relationship Id="rId14" Type="http://schemas.openxmlformats.org/officeDocument/2006/relationships/hyperlink" Target="https://search.coe.int/cm/Pages/result_details.aspx?Reference=CM/Rec(2015)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2878</Words>
  <Characters>16408</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Lombergar</dc:creator>
  <cp:lastModifiedBy>Nataša Lombergar</cp:lastModifiedBy>
  <cp:revision>2</cp:revision>
  <dcterms:created xsi:type="dcterms:W3CDTF">2017-09-13T11:19:00Z</dcterms:created>
  <dcterms:modified xsi:type="dcterms:W3CDTF">2017-09-13T11:19:00Z</dcterms:modified>
</cp:coreProperties>
</file>